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36DDFA31" w14:textId="77777777" w:rsidTr="005F330D">
        <w:trPr>
          <w:trHeight w:val="676"/>
        </w:trPr>
        <w:tc>
          <w:tcPr>
            <w:tcW w:w="5383" w:type="dxa"/>
            <w:tcBorders>
              <w:top w:val="nil"/>
              <w:left w:val="nil"/>
              <w:bottom w:val="nil"/>
              <w:right w:val="nil"/>
            </w:tcBorders>
          </w:tcPr>
          <w:p w14:paraId="152B3D5E"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+*xfs*pvs*Akl*cvA*xBj*qkc*uaj*ktB*css*rrE*pBk*-</w:t>
            </w:r>
            <w:r>
              <w:rPr>
                <w:rFonts w:ascii="PDF417x" w:hAnsi="PDF417x"/>
                <w:sz w:val="24"/>
                <w:szCs w:val="24"/>
              </w:rPr>
              <w:br/>
              <w:t>+*yqw*wpA*lbc*qbl*xaD*mDo*yCn*fsE*jdw*fsc*zew*-</w:t>
            </w:r>
            <w:r>
              <w:rPr>
                <w:rFonts w:ascii="PDF417x" w:hAnsi="PDF417x"/>
                <w:sz w:val="24"/>
                <w:szCs w:val="24"/>
              </w:rPr>
              <w:br/>
              <w:t>+*eDs*lyd*lyd*lyd*lyd*ECj*ozl*nmb*iEg*xjE*zfE*-</w:t>
            </w:r>
            <w:r>
              <w:rPr>
                <w:rFonts w:ascii="PDF417x" w:hAnsi="PDF417x"/>
                <w:sz w:val="24"/>
                <w:szCs w:val="24"/>
              </w:rPr>
              <w:br/>
              <w:t>+*ftw*BnC*oCs*lAq*BrD*DDB*qag*wdj*kog*rnm*onA*-</w:t>
            </w:r>
            <w:r>
              <w:rPr>
                <w:rFonts w:ascii="PDF417x" w:hAnsi="PDF417x"/>
                <w:sz w:val="24"/>
                <w:szCs w:val="24"/>
              </w:rPr>
              <w:br/>
              <w:t>+*ftA*wdc*uyi*tjb*nru*liE*DDx*jkr*abt*uAu*uws*-</w:t>
            </w:r>
            <w:r>
              <w:rPr>
                <w:rFonts w:ascii="PDF417x" w:hAnsi="PDF417x"/>
                <w:sz w:val="24"/>
                <w:szCs w:val="24"/>
              </w:rPr>
              <w:br/>
              <w:t>+*xjq*Bmw*jBE*kmz*DAr*Daj*ixw*vtb*yrn*jnc*uzq*-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D364C6" w:rsidRPr="000C4069" w14:paraId="6D5FF374" w14:textId="77777777" w:rsidTr="005F330D">
        <w:trPr>
          <w:trHeight w:val="851"/>
        </w:trPr>
        <w:tc>
          <w:tcPr>
            <w:tcW w:w="0" w:type="auto"/>
          </w:tcPr>
          <w:p w14:paraId="7CD408BB" w14:textId="77777777" w:rsidR="00D364C6" w:rsidRPr="000C4069" w:rsidRDefault="00D364C6" w:rsidP="004F6767">
            <w:pPr>
              <w:jc w:val="center"/>
            </w:pPr>
            <w:r>
              <w:drawing>
                <wp:inline distT="0" distB="0" distL="0" distR="0" wp14:anchorId="319F5642" wp14:editId="48BCF72B">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0C4069" w14:paraId="79A07B68" w14:textId="77777777" w:rsidTr="004F6767">
        <w:trPr>
          <w:trHeight w:val="276"/>
        </w:trPr>
        <w:tc>
          <w:tcPr>
            <w:tcW w:w="0" w:type="auto"/>
          </w:tcPr>
          <w:p w14:paraId="150B9D5B"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REPUBLIKA HRVATSKA</w:t>
            </w:r>
          </w:p>
        </w:tc>
      </w:tr>
      <w:tr w:rsidR="00D364C6" w:rsidRPr="000C4069" w14:paraId="6DD093EA" w14:textId="77777777" w:rsidTr="004F6767">
        <w:trPr>
          <w:trHeight w:val="291"/>
        </w:trPr>
        <w:tc>
          <w:tcPr>
            <w:tcW w:w="0" w:type="auto"/>
          </w:tcPr>
          <w:p w14:paraId="1CAB2C56"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KRAPINSKO – ZAGORSKA ŽUPANIJA</w:t>
            </w:r>
          </w:p>
        </w:tc>
      </w:tr>
      <w:tr w:rsidR="00D364C6" w:rsidRPr="000C4069" w14:paraId="7E9835BD" w14:textId="77777777" w:rsidTr="004F6767">
        <w:trPr>
          <w:trHeight w:val="276"/>
        </w:trPr>
        <w:tc>
          <w:tcPr>
            <w:tcW w:w="0" w:type="auto"/>
          </w:tcPr>
          <w:p w14:paraId="75C76C72"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GRAD PREGRADA</w:t>
            </w:r>
          </w:p>
        </w:tc>
      </w:tr>
      <w:tr w:rsidR="00D364C6" w:rsidRPr="000C4069" w14:paraId="6C41488C" w14:textId="77777777" w:rsidTr="004F6767">
        <w:trPr>
          <w:trHeight w:val="291"/>
        </w:trPr>
        <w:tc>
          <w:tcPr>
            <w:tcW w:w="0" w:type="auto"/>
          </w:tcPr>
          <w:p w14:paraId="30529C41" w14:textId="77777777" w:rsidR="00D364C6" w:rsidRPr="005F330D" w:rsidRDefault="00D364C6" w:rsidP="004F6767">
            <w:pPr>
              <w:jc w:val="center"/>
              <w:rPr>
                <w:rFonts w:ascii="Times New Roman" w:hAnsi="Times New Roman" w:cs="Times New Roman"/>
                <w:b/>
                <w:bCs/>
              </w:rPr>
            </w:pPr>
            <w:r w:rsidRPr="005F330D">
              <w:rPr>
                <w:rFonts w:ascii="Times New Roman" w:hAnsi="Times New Roman" w:cs="Times New Roman"/>
                <w:b/>
                <w:bCs/>
              </w:rPr>
              <w:t>GRADONAČELNIK</w:t>
            </w:r>
          </w:p>
        </w:tc>
      </w:tr>
    </w:tbl>
    <w:p w14:paraId="1F890205" w14:textId="77777777" w:rsidR="005F330D" w:rsidRDefault="005F330D" w:rsidP="005F330D">
      <w:pPr>
        <w:jc w:val="both"/>
        <w:rPr>
          <w:rFonts w:ascii="Times New Roman" w:eastAsia="Times New Roman" w:hAnsi="Times New Roman" w:cs="Times New Roman"/>
          <w:color w:val="000000"/>
          <w:lang w:eastAsia="hr-HR"/>
        </w:rPr>
      </w:pPr>
    </w:p>
    <w:p w14:paraId="661F47AA" w14:textId="77777777" w:rsidR="00B92D0F" w:rsidRPr="005F330D" w:rsidRDefault="00C9578C" w:rsidP="005F330D">
      <w:pPr>
        <w:jc w:val="both"/>
        <w:rPr>
          <w:rFonts w:ascii="Times New Roman" w:eastAsia="Times New Roman" w:hAnsi="Times New Roman" w:cs="Times New Roman"/>
          <w:noProof w:val="0"/>
        </w:rPr>
      </w:pPr>
      <w:r w:rsidRPr="005F330D">
        <w:rPr>
          <w:rFonts w:ascii="Times New Roman" w:eastAsia="Times New Roman" w:hAnsi="Times New Roman" w:cs="Times New Roman"/>
          <w:noProof w:val="0"/>
          <w:color w:val="000000"/>
          <w:lang w:eastAsia="hr-HR"/>
        </w:rPr>
        <w:t>KLASA:</w:t>
      </w:r>
      <w:r w:rsidR="00275B0C" w:rsidRPr="005F330D">
        <w:rPr>
          <w:rFonts w:ascii="Times New Roman" w:eastAsia="Times New Roman" w:hAnsi="Times New Roman" w:cs="Times New Roman"/>
          <w:noProof w:val="0"/>
          <w:color w:val="000000"/>
          <w:lang w:eastAsia="hr-HR"/>
        </w:rPr>
        <w:t xml:space="preserve"> </w:t>
      </w:r>
      <w:r w:rsidRPr="005F330D">
        <w:rPr>
          <w:rFonts w:ascii="Times New Roman" w:eastAsia="Times New Roman" w:hAnsi="Times New Roman" w:cs="Times New Roman"/>
          <w:noProof w:val="0"/>
          <w:color w:val="000000"/>
          <w:lang w:eastAsia="hr-HR"/>
        </w:rPr>
        <w:t xml:space="preserve"> </w:t>
      </w:r>
      <w:r w:rsidR="00B92D0F" w:rsidRPr="005F330D">
        <w:rPr>
          <w:rFonts w:ascii="Times New Roman" w:eastAsia="Times New Roman" w:hAnsi="Times New Roman" w:cs="Times New Roman"/>
          <w:noProof w:val="0"/>
          <w:color w:val="000000"/>
          <w:lang w:eastAsia="hr-HR"/>
        </w:rPr>
        <w:t>601-01/24-01/05</w:t>
      </w:r>
      <w:r w:rsidR="008C5FE5" w:rsidRPr="005F330D">
        <w:rPr>
          <w:rFonts w:ascii="Times New Roman" w:eastAsia="Times New Roman" w:hAnsi="Times New Roman" w:cs="Times New Roman"/>
          <w:noProof w:val="0"/>
          <w:color w:val="000000"/>
          <w:lang w:eastAsia="hr-HR"/>
        </w:rPr>
        <w:t xml:space="preserve"> </w:t>
      </w:r>
    </w:p>
    <w:p w14:paraId="590D3A65" w14:textId="77777777" w:rsidR="00B92D0F" w:rsidRPr="005F330D" w:rsidRDefault="00C9578C" w:rsidP="00B92D0F">
      <w:pPr>
        <w:rPr>
          <w:rFonts w:ascii="Times New Roman" w:eastAsia="Times New Roman" w:hAnsi="Times New Roman" w:cs="Times New Roman"/>
          <w:noProof w:val="0"/>
          <w:color w:val="000000"/>
          <w:lang w:eastAsia="hr-HR"/>
        </w:rPr>
      </w:pPr>
      <w:r w:rsidRPr="005F330D">
        <w:rPr>
          <w:rFonts w:ascii="Times New Roman" w:eastAsia="Times New Roman" w:hAnsi="Times New Roman" w:cs="Times New Roman"/>
          <w:noProof w:val="0"/>
          <w:color w:val="000000"/>
          <w:lang w:eastAsia="hr-HR"/>
        </w:rPr>
        <w:t xml:space="preserve">URBROJ: </w:t>
      </w:r>
      <w:r w:rsidR="00B92D0F" w:rsidRPr="005F330D">
        <w:rPr>
          <w:rFonts w:ascii="Times New Roman" w:eastAsia="Times New Roman" w:hAnsi="Times New Roman" w:cs="Times New Roman"/>
          <w:noProof w:val="0"/>
          <w:color w:val="000000"/>
          <w:lang w:eastAsia="hr-HR"/>
        </w:rPr>
        <w:t>2140-5-03/03-24-2</w:t>
      </w:r>
    </w:p>
    <w:p w14:paraId="6B861546" w14:textId="77777777" w:rsidR="00B92D0F" w:rsidRPr="005F330D" w:rsidRDefault="00D364C6" w:rsidP="00B92D0F">
      <w:pPr>
        <w:rPr>
          <w:rFonts w:ascii="Times New Roman" w:eastAsia="Times New Roman" w:hAnsi="Times New Roman" w:cs="Times New Roman"/>
          <w:noProof w:val="0"/>
          <w:color w:val="000000"/>
          <w:lang w:eastAsia="hr-HR"/>
        </w:rPr>
      </w:pPr>
      <w:r w:rsidRPr="005F330D">
        <w:rPr>
          <w:rFonts w:ascii="Times New Roman" w:eastAsia="Times New Roman" w:hAnsi="Times New Roman" w:cs="Times New Roman"/>
          <w:noProof w:val="0"/>
          <w:lang w:eastAsia="hr-HR"/>
        </w:rPr>
        <w:t>Pregrada</w:t>
      </w:r>
      <w:r w:rsidR="00C9578C" w:rsidRPr="005F330D">
        <w:rPr>
          <w:rFonts w:ascii="Times New Roman" w:eastAsia="Times New Roman" w:hAnsi="Times New Roman" w:cs="Times New Roman"/>
          <w:noProof w:val="0"/>
          <w:lang w:eastAsia="hr-HR"/>
        </w:rPr>
        <w:t xml:space="preserve">, </w:t>
      </w:r>
      <w:r w:rsidR="00B92D0F" w:rsidRPr="005F330D">
        <w:rPr>
          <w:rFonts w:ascii="Times New Roman" w:eastAsia="Times New Roman" w:hAnsi="Times New Roman" w:cs="Times New Roman"/>
          <w:noProof w:val="0"/>
          <w:color w:val="000000"/>
          <w:lang w:eastAsia="hr-HR"/>
        </w:rPr>
        <w:t>22.02.2024.</w:t>
      </w:r>
    </w:p>
    <w:p w14:paraId="11EAFD71" w14:textId="77777777" w:rsidR="00B92D0F" w:rsidRPr="005F330D" w:rsidRDefault="00B92D0F" w:rsidP="00B92D0F">
      <w:pPr>
        <w:spacing w:after="160" w:line="259" w:lineRule="auto"/>
        <w:rPr>
          <w:rFonts w:ascii="Times New Roman" w:eastAsia="Times New Roman" w:hAnsi="Times New Roman" w:cs="Times New Roman"/>
          <w:noProof w:val="0"/>
        </w:rPr>
      </w:pPr>
    </w:p>
    <w:p w14:paraId="77E323B2" w14:textId="77777777" w:rsidR="00361B16" w:rsidRPr="005F330D" w:rsidRDefault="00361B16" w:rsidP="00361B16">
      <w:pPr>
        <w:rPr>
          <w:rFonts w:ascii="Times New Roman" w:hAnsi="Times New Roman" w:cs="Times New Roman"/>
        </w:rPr>
      </w:pPr>
    </w:p>
    <w:p w14:paraId="5FDD5FAB" w14:textId="77777777" w:rsidR="00361B16" w:rsidRPr="005F330D" w:rsidRDefault="00361B16" w:rsidP="00361B16">
      <w:pPr>
        <w:jc w:val="right"/>
        <w:rPr>
          <w:rFonts w:ascii="Times New Roman" w:eastAsia="Times New Roman" w:hAnsi="Times New Roman" w:cs="Times New Roman"/>
          <w:color w:val="000000"/>
          <w:lang w:eastAsia="hr-HR"/>
        </w:rPr>
      </w:pPr>
    </w:p>
    <w:p w14:paraId="4AAC14A3" w14:textId="77777777" w:rsidR="00361B16" w:rsidRPr="00843FF0" w:rsidRDefault="00361B16" w:rsidP="00361B16">
      <w:pPr>
        <w:jc w:val="right"/>
        <w:rPr>
          <w:rFonts w:ascii="Times New Roman" w:hAnsi="Times New Roman" w:cs="Times New Roman"/>
        </w:rPr>
      </w:pPr>
      <w:r w:rsidRPr="00843FF0">
        <w:rPr>
          <w:rFonts w:ascii="Times New Roman" w:hAnsi="Times New Roman" w:cs="Times New Roman"/>
        </w:rPr>
        <w:t>GRADSKO VIJEĆE</w:t>
      </w:r>
    </w:p>
    <w:p w14:paraId="46A0922C" w14:textId="77777777" w:rsidR="00361B16" w:rsidRPr="00843FF0" w:rsidRDefault="00361B16" w:rsidP="00361B16">
      <w:pPr>
        <w:jc w:val="right"/>
        <w:rPr>
          <w:rFonts w:ascii="Times New Roman" w:hAnsi="Times New Roman" w:cs="Times New Roman"/>
        </w:rPr>
      </w:pPr>
      <w:r w:rsidRPr="00843FF0">
        <w:rPr>
          <w:rFonts w:ascii="Times New Roman" w:hAnsi="Times New Roman" w:cs="Times New Roman"/>
        </w:rPr>
        <w:tab/>
      </w:r>
      <w:r w:rsidRPr="00843FF0">
        <w:rPr>
          <w:rFonts w:ascii="Times New Roman" w:hAnsi="Times New Roman" w:cs="Times New Roman"/>
        </w:rPr>
        <w:tab/>
        <w:t>GRADA PREGRADE</w:t>
      </w:r>
    </w:p>
    <w:p w14:paraId="19147D79" w14:textId="77777777" w:rsidR="00361B16" w:rsidRPr="005F330D" w:rsidRDefault="00361B16" w:rsidP="00361B16">
      <w:pPr>
        <w:jc w:val="right"/>
        <w:rPr>
          <w:rFonts w:ascii="Times New Roman" w:eastAsia="Times New Roman" w:hAnsi="Times New Roman" w:cs="Times New Roman"/>
          <w:color w:val="000000"/>
          <w:lang w:eastAsia="hr-HR"/>
        </w:rPr>
      </w:pPr>
    </w:p>
    <w:p w14:paraId="421E5C7B" w14:textId="77777777" w:rsidR="00361B16" w:rsidRPr="005F330D" w:rsidRDefault="00361B16" w:rsidP="00361B16">
      <w:pPr>
        <w:jc w:val="right"/>
        <w:rPr>
          <w:rFonts w:ascii="Times New Roman" w:eastAsia="Times New Roman" w:hAnsi="Times New Roman" w:cs="Times New Roman"/>
          <w:color w:val="000000"/>
          <w:lang w:eastAsia="hr-HR"/>
        </w:rPr>
      </w:pPr>
      <w:r w:rsidRPr="005F330D">
        <w:rPr>
          <w:rFonts w:ascii="Times New Roman" w:eastAsia="Times New Roman" w:hAnsi="Times New Roman" w:cs="Times New Roman"/>
          <w:color w:val="000000"/>
          <w:lang w:eastAsia="hr-HR"/>
        </w:rPr>
        <w:t xml:space="preserve"> </w:t>
      </w:r>
    </w:p>
    <w:p w14:paraId="21CEA623" w14:textId="77777777" w:rsidR="00361B16" w:rsidRPr="005F330D" w:rsidRDefault="00361B16" w:rsidP="00361B16">
      <w:pPr>
        <w:jc w:val="right"/>
        <w:rPr>
          <w:rFonts w:ascii="Times New Roman" w:hAnsi="Times New Roman" w:cs="Times New Roman"/>
        </w:rPr>
      </w:pPr>
    </w:p>
    <w:p w14:paraId="0FC8632F" w14:textId="77777777" w:rsidR="00361B16" w:rsidRPr="005F330D" w:rsidRDefault="00361B16" w:rsidP="00361B16">
      <w:pPr>
        <w:jc w:val="right"/>
        <w:rPr>
          <w:rFonts w:ascii="Times New Roman" w:hAnsi="Times New Roman" w:cs="Times New Roman"/>
        </w:rPr>
      </w:pPr>
    </w:p>
    <w:p w14:paraId="1591CD15" w14:textId="77777777" w:rsidR="00361B16" w:rsidRPr="005F330D" w:rsidRDefault="00361B16" w:rsidP="00361B16">
      <w:pPr>
        <w:ind w:left="1410" w:hanging="1410"/>
        <w:rPr>
          <w:rFonts w:ascii="Times New Roman" w:eastAsia="Times New Roman" w:hAnsi="Times New Roman" w:cs="Times New Roman"/>
          <w:color w:val="000000"/>
          <w:lang w:eastAsia="hr-HR"/>
        </w:rPr>
      </w:pPr>
      <w:r w:rsidRPr="005F330D">
        <w:rPr>
          <w:rFonts w:ascii="Times New Roman" w:hAnsi="Times New Roman" w:cs="Times New Roman"/>
        </w:rPr>
        <w:t xml:space="preserve">PREDMET: </w:t>
      </w:r>
      <w:r>
        <w:rPr>
          <w:rFonts w:ascii="Times New Roman" w:hAnsi="Times New Roman" w:cs="Times New Roman"/>
        </w:rPr>
        <w:tab/>
      </w:r>
      <w:r w:rsidRPr="005F330D">
        <w:rPr>
          <w:rFonts w:ascii="Times New Roman" w:eastAsia="Times New Roman" w:hAnsi="Times New Roman" w:cs="Times New Roman"/>
          <w:color w:val="000000"/>
          <w:lang w:eastAsia="hr-HR"/>
        </w:rPr>
        <w:t>Odluka o davanju prethodne suglasnosti DV Naša radost Pregrada za provedbu postupka jednostavne nabave za predmet nabave: „Usluga izmjene unutarnje stolarije“</w:t>
      </w:r>
    </w:p>
    <w:p w14:paraId="15754B4A" w14:textId="77777777" w:rsidR="00361B16" w:rsidRPr="0063773E" w:rsidRDefault="00361B16" w:rsidP="00361B16">
      <w:pPr>
        <w:rPr>
          <w:rFonts w:ascii="Calibri" w:eastAsia="Times New Roman" w:hAnsi="Calibri" w:cs="Calibri"/>
          <w:color w:val="000000"/>
          <w:lang w:eastAsia="hr-HR"/>
        </w:rPr>
      </w:pPr>
    </w:p>
    <w:p w14:paraId="4FD61340" w14:textId="77777777" w:rsidR="00361B16" w:rsidRDefault="00361B16" w:rsidP="00361B16">
      <w:r>
        <w:t xml:space="preserve">                 </w:t>
      </w:r>
    </w:p>
    <w:p w14:paraId="62AD4F05" w14:textId="77777777" w:rsidR="00361B16" w:rsidRPr="0054417A" w:rsidRDefault="00361B16" w:rsidP="00361B16">
      <w:pPr>
        <w:ind w:firstLine="708"/>
        <w:jc w:val="both"/>
        <w:rPr>
          <w:rFonts w:ascii="Times New Roman" w:hAnsi="Times New Roman" w:cs="Times New Roman"/>
        </w:rPr>
      </w:pPr>
      <w:r w:rsidRPr="0054417A">
        <w:rPr>
          <w:rFonts w:ascii="Times New Roman" w:hAnsi="Times New Roman" w:cs="Times New Roman"/>
        </w:rPr>
        <w:t xml:space="preserve">Dječji vrtić „Naša radost“ Pregrada dostavio je dana 22.02.2024. Gradu Pregradi zahtjev za izdavanje prethodne suglasnosti Osnivača, odnosno Gradskog vijeća Grada Pregrade, za provedbu postupka jednostavne nabave radova za predmet nabave: </w:t>
      </w:r>
      <w:r w:rsidRPr="005F330D">
        <w:rPr>
          <w:rFonts w:ascii="Times New Roman" w:eastAsia="Times New Roman" w:hAnsi="Times New Roman" w:cs="Times New Roman"/>
          <w:color w:val="000000"/>
          <w:lang w:eastAsia="hr-HR"/>
        </w:rPr>
        <w:t>Usluga izmjene unutarnje stolarije</w:t>
      </w:r>
      <w:r w:rsidRPr="0054417A">
        <w:rPr>
          <w:rFonts w:ascii="Times New Roman" w:hAnsi="Times New Roman" w:cs="Times New Roman"/>
        </w:rPr>
        <w:t>, procijenjene vrijednosti 19.280,00 EUR (bez PDV-a)</w:t>
      </w:r>
      <w:r>
        <w:rPr>
          <w:rFonts w:ascii="Times New Roman" w:hAnsi="Times New Roman" w:cs="Times New Roman"/>
        </w:rPr>
        <w:t>.</w:t>
      </w:r>
    </w:p>
    <w:p w14:paraId="2DBD6BAD" w14:textId="77777777" w:rsidR="00361B16" w:rsidRPr="0054417A" w:rsidRDefault="00361B16" w:rsidP="00361B16">
      <w:pPr>
        <w:jc w:val="both"/>
        <w:rPr>
          <w:rFonts w:ascii="Times New Roman" w:hAnsi="Times New Roman" w:cs="Times New Roman"/>
        </w:rPr>
      </w:pPr>
    </w:p>
    <w:p w14:paraId="56D8A529" w14:textId="77777777" w:rsidR="00361B16" w:rsidRPr="0054417A" w:rsidRDefault="00361B16" w:rsidP="00361B16">
      <w:pPr>
        <w:ind w:firstLine="708"/>
        <w:jc w:val="both"/>
        <w:rPr>
          <w:rFonts w:ascii="Times New Roman" w:hAnsi="Times New Roman" w:cs="Times New Roman"/>
        </w:rPr>
      </w:pPr>
      <w:r w:rsidRPr="0054417A">
        <w:rPr>
          <w:rFonts w:ascii="Times New Roman" w:hAnsi="Times New Roman" w:cs="Times New Roman"/>
        </w:rPr>
        <w:t>Člankom 16. Pravilnika o provedbi postupka jednostavne nabave Dječjeg vrtića propisano je da o provedbi postupaka nabave roba, usluga i radova procijenjene vrijednosti jednake ili veće od 13.272,28 EUR do 26.544,56 EUR za robe i usluge te do 66.361,40 EUR za radove odlučuje Upravno vijeće Vrtića uz prethodnu suglasnost Osnivača.</w:t>
      </w:r>
    </w:p>
    <w:p w14:paraId="50450384" w14:textId="77777777" w:rsidR="00361B16" w:rsidRPr="0054417A" w:rsidRDefault="00361B16" w:rsidP="00361B16">
      <w:pPr>
        <w:jc w:val="both"/>
        <w:rPr>
          <w:rFonts w:ascii="Times New Roman" w:hAnsi="Times New Roman" w:cs="Times New Roman"/>
        </w:rPr>
      </w:pPr>
      <w:r w:rsidRPr="0054417A">
        <w:rPr>
          <w:rFonts w:ascii="Times New Roman" w:hAnsi="Times New Roman" w:cs="Times New Roman"/>
        </w:rPr>
        <w:tab/>
      </w:r>
    </w:p>
    <w:p w14:paraId="02A4AED5" w14:textId="77777777" w:rsidR="00361B16" w:rsidRPr="0054417A" w:rsidRDefault="00361B16" w:rsidP="00361B16">
      <w:pPr>
        <w:ind w:firstLine="708"/>
        <w:jc w:val="both"/>
        <w:rPr>
          <w:rFonts w:ascii="Times New Roman" w:hAnsi="Times New Roman" w:cs="Times New Roman"/>
        </w:rPr>
      </w:pPr>
      <w:r w:rsidRPr="0054417A">
        <w:rPr>
          <w:rFonts w:ascii="Times New Roman" w:hAnsi="Times New Roman" w:cs="Times New Roman"/>
        </w:rPr>
        <w:t>Postupak nabave se pokreće na temelju Plana nabave DV „Naša radsot“ Pregrada za 2024. godinu. Sredstva su osigurana u financijskom planu DV „Naša radsot“ Pregrada za 2024. godinu na izvoru 1 OPĆI PRIHODI I PRIMICI, Prihodi za financiranje redovne djelatnosti – dodatna sredstva.</w:t>
      </w:r>
    </w:p>
    <w:p w14:paraId="02D3C69F" w14:textId="77777777" w:rsidR="00361B16" w:rsidRDefault="00361B16" w:rsidP="00361B16">
      <w:pPr>
        <w:jc w:val="both"/>
        <w:rPr>
          <w:rFonts w:ascii="Times New Roman" w:hAnsi="Times New Roman" w:cs="Times New Roman"/>
        </w:rPr>
      </w:pPr>
    </w:p>
    <w:p w14:paraId="11777FCF" w14:textId="77777777" w:rsidR="00361B16" w:rsidRPr="0054417A" w:rsidRDefault="00361B16" w:rsidP="00361B16">
      <w:pPr>
        <w:ind w:firstLine="708"/>
        <w:jc w:val="both"/>
        <w:rPr>
          <w:rFonts w:ascii="Times New Roman" w:hAnsi="Times New Roman" w:cs="Times New Roman"/>
        </w:rPr>
      </w:pPr>
      <w:r w:rsidRPr="0054417A">
        <w:rPr>
          <w:rFonts w:ascii="Times New Roman" w:hAnsi="Times New Roman" w:cs="Times New Roman"/>
        </w:rPr>
        <w:t xml:space="preserve">Predlažemo Gradskom vijeću Grada Pregrade da kao Osnivač izda prethodnu suglasnost Dječjem vrtiću za provedbu postupka jednostavne nabave radova za predmet nabave: </w:t>
      </w:r>
      <w:r w:rsidRPr="005F330D">
        <w:rPr>
          <w:rFonts w:ascii="Times New Roman" w:eastAsia="Times New Roman" w:hAnsi="Times New Roman" w:cs="Times New Roman"/>
          <w:color w:val="000000"/>
          <w:lang w:eastAsia="hr-HR"/>
        </w:rPr>
        <w:t>Usluga izmjene unutarnje stolarije</w:t>
      </w:r>
      <w:r w:rsidRPr="0054417A">
        <w:rPr>
          <w:rFonts w:ascii="Times New Roman" w:hAnsi="Times New Roman" w:cs="Times New Roman"/>
        </w:rPr>
        <w:t>, procijenjene vrijednosti 19.280,00 EUR (bez PDV-a)</w:t>
      </w:r>
      <w:r>
        <w:rPr>
          <w:rFonts w:ascii="Times New Roman" w:hAnsi="Times New Roman" w:cs="Times New Roman"/>
        </w:rPr>
        <w:t>.</w:t>
      </w:r>
    </w:p>
    <w:p w14:paraId="306EDB99" w14:textId="77777777" w:rsidR="00361B16" w:rsidRPr="0054417A" w:rsidRDefault="00361B16" w:rsidP="00361B16">
      <w:pPr>
        <w:ind w:firstLine="708"/>
        <w:jc w:val="both"/>
        <w:rPr>
          <w:rFonts w:ascii="Times New Roman" w:hAnsi="Times New Roman" w:cs="Times New Roman"/>
        </w:rPr>
      </w:pPr>
    </w:p>
    <w:p w14:paraId="06F61E2D" w14:textId="77777777" w:rsidR="00361B16" w:rsidRDefault="00361B16" w:rsidP="00361B16"/>
    <w:p w14:paraId="2AF0476A" w14:textId="77777777" w:rsidR="00361B16" w:rsidRDefault="00361B16" w:rsidP="00361B16"/>
    <w:p w14:paraId="5EF087A5" w14:textId="77777777" w:rsidR="00361B16" w:rsidRDefault="00361B16" w:rsidP="00361B16"/>
    <w:p w14:paraId="4C90B27C" w14:textId="77777777" w:rsidR="00361B16" w:rsidRPr="005F330D" w:rsidRDefault="00361B16" w:rsidP="00361B16">
      <w:pPr>
        <w:jc w:val="right"/>
        <w:rPr>
          <w:rFonts w:ascii="Times New Roman" w:hAnsi="Times New Roman" w:cs="Times New Roman"/>
        </w:rPr>
      </w:pPr>
      <w:r w:rsidRPr="005F330D">
        <w:rPr>
          <w:rFonts w:ascii="Times New Roman" w:hAnsi="Times New Roman" w:cs="Times New Roman"/>
        </w:rPr>
        <w:t>GRADONAČELNIK</w:t>
      </w:r>
    </w:p>
    <w:p w14:paraId="661C2E50" w14:textId="77777777" w:rsidR="00361B16" w:rsidRPr="005F330D" w:rsidRDefault="00361B16" w:rsidP="00361B16">
      <w:pPr>
        <w:jc w:val="right"/>
        <w:rPr>
          <w:rFonts w:ascii="Times New Roman" w:hAnsi="Times New Roman" w:cs="Times New Roman"/>
        </w:rPr>
      </w:pPr>
    </w:p>
    <w:p w14:paraId="038110B6" w14:textId="43AE3BF9" w:rsidR="00D364C6" w:rsidRPr="00741487" w:rsidRDefault="00361B16" w:rsidP="00741487">
      <w:pPr>
        <w:jc w:val="right"/>
        <w:rPr>
          <w:rFonts w:ascii="Times New Roman" w:hAnsi="Times New Roman" w:cs="Times New Roman"/>
        </w:rPr>
      </w:pPr>
      <w:r w:rsidRPr="005F330D">
        <w:rPr>
          <w:rFonts w:ascii="Times New Roman" w:hAnsi="Times New Roman" w:cs="Times New Roman"/>
        </w:rPr>
        <w:t>Marko Vešligaj, univ. spec. pol.</w:t>
      </w:r>
    </w:p>
    <w:p w14:paraId="096AC45A" w14:textId="77777777" w:rsidR="00D707B3" w:rsidRDefault="00D707B3" w:rsidP="00D707B3">
      <w:pPr>
        <w:jc w:val="right"/>
      </w:pPr>
    </w:p>
    <w:p w14:paraId="5FFB66F1" w14:textId="77777777" w:rsidR="00D707B3" w:rsidRDefault="00D707B3" w:rsidP="00D707B3"/>
    <w:p w14:paraId="4AA918DF" w14:textId="77777777" w:rsidR="00B92D0F" w:rsidRPr="00B92D0F" w:rsidRDefault="00B92D0F" w:rsidP="00B92D0F">
      <w:pPr>
        <w:spacing w:after="160" w:line="259" w:lineRule="auto"/>
        <w:jc w:val="right"/>
        <w:rPr>
          <w:rFonts w:eastAsia="Times New Roman" w:cs="Times New Roman"/>
          <w:noProof w:val="0"/>
        </w:rPr>
      </w:pPr>
    </w:p>
    <w:p w14:paraId="542BFD60" w14:textId="77777777" w:rsidR="00B92D0F" w:rsidRPr="00B92D0F" w:rsidRDefault="00B92D0F" w:rsidP="00B92D0F">
      <w:pPr>
        <w:spacing w:after="160" w:line="259" w:lineRule="auto"/>
        <w:rPr>
          <w:rFonts w:eastAsia="Times New Roman" w:cs="Times New Roman"/>
          <w:noProof w:val="0"/>
        </w:rPr>
      </w:pPr>
    </w:p>
    <w:p w14:paraId="0F57AD48"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14631A9E" wp14:editId="3900EBC0">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6B9AD272"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p15="http://schemas.microsoft.com/office/word/2012/wordprocessingDrawing" xmlns:a18hc="http://schemas.microsoft.com/office/drawing/2018/hyperlinkcolor" xmlns:adec="http://schemas.microsoft.com/office/drawing/2017/decorative" xmlns:a16svg="http://schemas.microsoft.com/office/drawing/2016/SVG/main" xmlns:dgm1612="http://schemas.microsoft.com/office/drawing/2016/12/diagram" xmlns:a1611="http://schemas.microsoft.com/office/drawing/2016/11/main" xmlns:a16="http://schemas.microsoft.com/office/drawing/2014/main" xmlns:c16ac="http://schemas.microsoft.com/office/drawing/2014/chart/ac" xmlns:pic14="http://schemas.microsoft.com/office/drawing/2010/picture" xmlns:a15="http://schemas.microsoft.com/office/drawing/2012/main" xmlns:dgm14="http://schemas.microsoft.com/office/drawing/2010/diagram" xmlns:lc="http://schemas.openxmlformats.org/drawingml/2006/lockedCanvas" xmlns:comp="http://schemas.openxmlformats.org/drawingml/2006/compatibility" xmlns:we="http://schemas.microsoft.com/office/webextensions/webextension/2010/11" xmlns:wetp="http://schemas.microsoft.com/office/webextensions/taskpanes/2010/11" xmlns:thm15="http://schemas.microsoft.com/office/thememl/2012/main" xmlns:iact="http://schemas.microsoft.com/office/powerpoint/2014/inkAction" xmlns:anam3d="http://schemas.microsoft.com/office/drawing/2018/animation/model3d" xmlns:an18="http://schemas.microsoft.com/office/drawing/2018/animation" xmlns:c173="http://schemas.microsoft.com/office/drawing/2017/03/chart" xmlns:dgm1611="http://schemas.microsoft.com/office/drawing/2016/11/diagram" xmlns:c16="http://schemas.microsoft.com/office/drawing/2014/chart" xmlns:a13cmd="http://schemas.microsoft.com/office/drawing/2013/main/command" xmlns:ns39="http://www.w3.org/2003/InkML" xmlns:ns38="http://www.w3.org/1998/Math/MathML" xmlns:cs="http://schemas.microsoft.com/office/drawing/2012/chartStyle" xmlns:c15="http://schemas.microsoft.com/office/drawing/2012/chart" xmlns:cdr14="http://schemas.microsoft.com/office/drawing/2010/chartDrawing" xmlns:msink="http://schemas.microsoft.com/ink/2010/main" xmlns:b="http://schemas.openxmlformats.org/officeDocument/2006/bibliography" xmlns:odgm="http://opendope.org/SmartArt/DataHierarchy" xmlns:odi="http://opendope.org/components" xmlns:oda="http://opendope.org/answers" xmlns:odq="http://opendope.org/questions" xmlns:odc="http://opendope.org/conditions" xmlns:odx="http://opendope.org/xpaths" xmlns:cppr="http://schemas.microsoft.com/office/2006/coverPageProps" xmlns:pvml="urn:schemas-microsoft-com:office:powerpoint" xmlns:xvml="urn:schemas-microsoft-com:office:excel" xmlns:dsp="http://schemas.microsoft.com/office/drawing/2008/diagram" xmlns:xdr="http://schemas.openxmlformats.org/drawingml/2006/spreadsheetDrawing" xmlns:pic="http://schemas.openxmlformats.org/drawingml/2006/picture" xmlns:dgm="http://schemas.openxmlformats.org/drawingml/2006/diagram" xmlns:c14="http://schemas.microsoft.com/office/drawing/2007/8/2/chart" xmlns:cdr="http://schemas.openxmlformats.org/drawingml/2006/chartDrawing" xmlns:c="http://schemas.openxmlformats.org/drawingml/2006/chart" xmlns:sl="http://schemas.openxmlformats.org/schemaLibrary/2006/main" xmlns:a14="http://schemas.microsoft.com/office/drawing/2010/main" xmlns:a="http://schemas.openxmlformats.org/drawingml/2006/main">
            <w:pict>
              <v:shapetype o:spt="202.0" path="m,l,21600r21600,l21600,xe" coordsize="21600,21600" id="_x0000_t202">
                <v:stroke joinstyle="miter"/>
                <v:path gradientshapeok="t" o:connecttype="rect"/>
              </v:shapetype>
              <v:shape o:gfxdata="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"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id="Text Box 2" o:spid="_x0000_s1026" stroked="f">
                <v:textbox>
                  <w:txbxContent>
                    <w:p w:rsidR="008A562A" w:rsidRDefault="008A562A" w14:paraId="76EF94CE" w14:textId="77777777">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75B0C"/>
    <w:rsid w:val="00347D72"/>
    <w:rsid w:val="00361B16"/>
    <w:rsid w:val="003F65C1"/>
    <w:rsid w:val="004F4C90"/>
    <w:rsid w:val="005F330D"/>
    <w:rsid w:val="00693AB1"/>
    <w:rsid w:val="00741487"/>
    <w:rsid w:val="008A562A"/>
    <w:rsid w:val="008C5FE5"/>
    <w:rsid w:val="009B7A12"/>
    <w:rsid w:val="00A51602"/>
    <w:rsid w:val="00A836D0"/>
    <w:rsid w:val="00AC35DA"/>
    <w:rsid w:val="00B92D0F"/>
    <w:rsid w:val="00C9578C"/>
    <w:rsid w:val="00D364C6"/>
    <w:rsid w:val="00D707B3"/>
    <w:rsid w:val="00E554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98D7F"/>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w15="http://schemas.microsoft.com/office/word/2012/wordml"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math"/>
    <ds:schemaRef ds:uri="http://schemas.microsoft.com/office/word/2010/wordml"/>
    <ds:schemaRef ds:uri="http://schemas.openxmlformats.org/officeDocument/2006/relationships"/>
    <ds:schemaRef ds:uri="http://schemas.openxmlformats.org/drawingml/2006/wordprocessingDrawing"/>
    <ds:schemaRef ds:uri="http://schemas.openxmlformats.org/drawingml/2006/main"/>
    <ds:schemaRef ds:uri="http://schemas.microsoft.com/office/word/2010/wordprocessingDrawing"/>
    <ds:schemaRef ds:uri="http://schemas.openxmlformats.org/markup-compatibility/2006"/>
    <ds:schemaRef ds:uri="http://schemas.microsoft.com/office/word/2012/wordml"/>
    <ds:schemaRef ds:uri="http://schemas.microsoft.com/office/drawing/2010/main"/>
    <ds:schemaRef ds:uri="http://schemas.openxmlformats.org/schemaLibrary/2006/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287</Words>
  <Characters>1640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Nikolina Šoštarić Tkalec</cp:lastModifiedBy>
  <cp:revision>4</cp:revision>
  <cp:lastPrinted>2014-11-26T14:09:00Z</cp:lastPrinted>
  <dcterms:created xsi:type="dcterms:W3CDTF">2024-02-08T08:48:00Z</dcterms:created>
  <dcterms:modified xsi:type="dcterms:W3CDTF">2024-02-22T18:16:00Z</dcterms:modified>
</cp:coreProperties>
</file>